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9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1"/>
        <w:gridCol w:w="6733"/>
      </w:tblGrid>
      <w:tr>
        <w:trPr>
          <w:trHeight w:val="0" w:hRule="auto"/>
        </w:trPr>
        <w:tc>
          <w:tcPr>
            <w:tcW w:w="9634" w:type="dxa"/>
            <w:gridSpan w:val="2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32"/>
                <w:szCs w:val="32"/>
              </w:rPr>
            </w:pPr>
            <w:r/>
            <w:r>
              <w:rPr>
                <w:rFonts w:ascii="Arial" w:hAnsi="Arial"/>
                <w:b/>
                <w:sz w:val="32"/>
                <w:szCs w:val="32"/>
              </w:rPr>
              <w:t>РОО "ФЕДЕРАЦИЯ ХОККЕЯ СВЕРДЛОВСКОЙ ОБЛАСТИ"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  <w:r/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/>
            <w:r/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ИНН: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6658009691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КПП: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665801001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ОГРН: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1026600010470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  <w:r/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/>
            <w:r/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Расчетный счет: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40703810538030000386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Банк: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ФИЛИАЛ "ЕКАТЕРИНБУРГСКИЙ" АО "АЛЬФА-БАНК"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БИК: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046577964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Корр. счет: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30101810100000000964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  <w:r/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/>
            <w:r/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Юридический адрес: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620014, Свердловская область, г. Екатеринбург, ул. 8 Марта, дом 2</w:t>
            </w:r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  <w:r/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/>
            <w:r/>
          </w:p>
        </w:tc>
      </w:tr>
      <w:tr>
        <w:trPr>
          <w:trHeight w:val="0" w:hRule="auto"/>
        </w:trPr>
        <w:tc>
          <w:tcPr>
            <w:tcW w:w="2901" w:type="dxa"/>
            <w:shd w:val="clear" w:color="auto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/>
            <w:r/>
            <w:r>
              <w:rPr>
                <w:rFonts w:ascii="Arial" w:hAnsi="Arial"/>
                <w:sz w:val="24"/>
                <w:szCs w:val="24"/>
              </w:rPr>
              <w:t>Президент:</w:t>
            </w:r>
          </w:p>
        </w:tc>
        <w:tc>
          <w:tcPr>
            <w:tcW w:w="673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/>
            <w:r/>
            <w:r>
              <w:rPr>
                <w:rFonts w:ascii="Arial" w:hAnsi="Arial"/>
                <w:b/>
                <w:sz w:val="24"/>
                <w:szCs w:val="24"/>
              </w:rPr>
              <w:t>Деменьшин Вячеслав Павлович</w:t>
            </w: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